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76F8C" w14:textId="4A6BE518" w:rsidR="00EC6ACA" w:rsidRPr="006E2D0D" w:rsidRDefault="00EC6ACA" w:rsidP="00EC6ACA">
      <w:pPr>
        <w:pStyle w:val="3GPPHeader"/>
        <w:spacing w:after="60"/>
        <w:rPr>
          <w:rFonts w:cs="Arial"/>
          <w:sz w:val="32"/>
          <w:szCs w:val="32"/>
          <w:highlight w:val="yellow"/>
          <w:lang w:val="en-US"/>
        </w:rPr>
      </w:pPr>
      <w:bookmarkStart w:id="0" w:name="_Hlk512852793"/>
      <w:r w:rsidRPr="006E2D0D">
        <w:rPr>
          <w:rFonts w:cs="Arial"/>
          <w:lang w:val="en-US"/>
        </w:rPr>
        <w:t>3GPP TSG-RAN WG2 #10</w:t>
      </w:r>
      <w:r w:rsidR="00B12A20">
        <w:rPr>
          <w:rFonts w:cs="Arial"/>
        </w:rPr>
        <w:t>8</w:t>
      </w:r>
      <w:r w:rsidRPr="006E2D0D">
        <w:rPr>
          <w:rFonts w:cs="Arial"/>
          <w:lang w:val="en-US"/>
        </w:rPr>
        <w:tab/>
      </w:r>
      <w:r w:rsidRPr="006E2D0D">
        <w:rPr>
          <w:rFonts w:cs="Arial"/>
          <w:sz w:val="32"/>
          <w:szCs w:val="32"/>
          <w:lang w:val="en-US"/>
        </w:rPr>
        <w:t xml:space="preserve"> </w:t>
      </w:r>
      <w:proofErr w:type="spellStart"/>
      <w:r w:rsidRPr="006E2D0D">
        <w:rPr>
          <w:rFonts w:cs="Arial"/>
          <w:sz w:val="32"/>
          <w:szCs w:val="32"/>
          <w:lang w:val="en-US"/>
        </w:rPr>
        <w:t>TDoc</w:t>
      </w:r>
      <w:proofErr w:type="spellEnd"/>
      <w:r w:rsidRPr="006E2D0D">
        <w:rPr>
          <w:rFonts w:cs="Arial"/>
          <w:sz w:val="32"/>
          <w:szCs w:val="32"/>
          <w:lang w:val="en-US"/>
        </w:rPr>
        <w:t xml:space="preserve"> </w:t>
      </w:r>
      <w:r w:rsidR="006E2D0D" w:rsidRPr="006E2D0D">
        <w:rPr>
          <w:rFonts w:cs="Arial"/>
          <w:sz w:val="32"/>
          <w:szCs w:val="32"/>
          <w:lang w:val="en-US"/>
        </w:rPr>
        <w:t>R2-1915276</w:t>
      </w:r>
    </w:p>
    <w:bookmarkEnd w:id="0"/>
    <w:p w14:paraId="1C4F17BE" w14:textId="0ACD0C1F" w:rsidR="00EC6ACA" w:rsidRPr="007A6B98" w:rsidRDefault="00B12A20" w:rsidP="00EC6ACA">
      <w:pPr>
        <w:pStyle w:val="CRCoverPage"/>
        <w:outlineLvl w:val="0"/>
        <w:rPr>
          <w:rFonts w:cs="Arial"/>
          <w:b/>
          <w:noProof/>
          <w:sz w:val="24"/>
        </w:rPr>
      </w:pPr>
      <w:r>
        <w:rPr>
          <w:rFonts w:cs="Arial"/>
          <w:b/>
          <w:noProof/>
          <w:sz w:val="24"/>
        </w:rPr>
        <w:t>Reno</w:t>
      </w:r>
      <w:r w:rsidR="00EC6ACA" w:rsidRPr="007A6B98">
        <w:rPr>
          <w:rFonts w:cs="Arial"/>
          <w:b/>
          <w:noProof/>
          <w:sz w:val="24"/>
        </w:rPr>
        <w:t xml:space="preserve">, </w:t>
      </w:r>
      <w:r>
        <w:rPr>
          <w:rFonts w:cs="Arial"/>
          <w:b/>
          <w:noProof/>
          <w:sz w:val="24"/>
        </w:rPr>
        <w:t>USA</w:t>
      </w:r>
      <w:r w:rsidR="00EC6ACA" w:rsidRPr="007A6B98">
        <w:rPr>
          <w:rFonts w:cs="Arial"/>
          <w:b/>
          <w:noProof/>
          <w:sz w:val="24"/>
        </w:rPr>
        <w:t xml:space="preserve">, </w:t>
      </w:r>
      <w:r w:rsidR="00EC6ACA">
        <w:rPr>
          <w:rFonts w:cs="Arial"/>
          <w:b/>
          <w:noProof/>
          <w:sz w:val="24"/>
        </w:rPr>
        <w:t>1</w:t>
      </w:r>
      <w:r>
        <w:rPr>
          <w:rFonts w:cs="Arial"/>
          <w:b/>
          <w:noProof/>
          <w:sz w:val="24"/>
        </w:rPr>
        <w:t>8</w:t>
      </w:r>
      <w:r w:rsidR="00EC6ACA" w:rsidRPr="007A6B98">
        <w:rPr>
          <w:rFonts w:cs="Arial"/>
          <w:b/>
          <w:noProof/>
          <w:sz w:val="24"/>
          <w:vertAlign w:val="superscript"/>
        </w:rPr>
        <w:t>th</w:t>
      </w:r>
      <w:r w:rsidR="00EC6ACA" w:rsidRPr="007A6B98">
        <w:rPr>
          <w:rFonts w:cs="Arial"/>
          <w:b/>
          <w:noProof/>
          <w:sz w:val="24"/>
        </w:rPr>
        <w:t xml:space="preserve"> – </w:t>
      </w:r>
      <w:r>
        <w:rPr>
          <w:rFonts w:cs="Arial"/>
          <w:b/>
          <w:noProof/>
          <w:sz w:val="24"/>
        </w:rPr>
        <w:t>22</w:t>
      </w:r>
      <w:r w:rsidR="00EC6ACA" w:rsidRPr="007A6B98">
        <w:rPr>
          <w:rFonts w:cs="Arial"/>
          <w:b/>
          <w:noProof/>
          <w:sz w:val="24"/>
          <w:vertAlign w:val="superscript"/>
        </w:rPr>
        <w:t>th</w:t>
      </w:r>
      <w:r w:rsidR="00EC6ACA" w:rsidRPr="007A6B98">
        <w:rPr>
          <w:rFonts w:cs="Arial"/>
          <w:b/>
          <w:noProof/>
          <w:sz w:val="24"/>
        </w:rPr>
        <w:t xml:space="preserve"> </w:t>
      </w:r>
      <w:r>
        <w:rPr>
          <w:rFonts w:cs="Arial"/>
          <w:b/>
          <w:noProof/>
          <w:sz w:val="24"/>
        </w:rPr>
        <w:t>November</w:t>
      </w:r>
      <w:r w:rsidR="00EC6ACA">
        <w:rPr>
          <w:rFonts w:cs="Arial"/>
          <w:b/>
          <w:noProof/>
          <w:sz w:val="24"/>
        </w:rPr>
        <w:t xml:space="preserve"> </w:t>
      </w:r>
      <w:r w:rsidR="00EC6ACA" w:rsidRPr="007A6B98">
        <w:rPr>
          <w:rFonts w:cs="Arial"/>
          <w:b/>
          <w:noProof/>
          <w:sz w:val="24"/>
        </w:rPr>
        <w:t>2019</w:t>
      </w:r>
    </w:p>
    <w:p w14:paraId="525A6E58" w14:textId="77777777" w:rsidR="00481B62" w:rsidRPr="00354B8A" w:rsidRDefault="00481B62" w:rsidP="00481B62">
      <w:pPr>
        <w:pStyle w:val="3GPPHeader"/>
      </w:pPr>
    </w:p>
    <w:p w14:paraId="72481742" w14:textId="7B515DAA" w:rsidR="00481B62" w:rsidRPr="00DD3521" w:rsidRDefault="00481B62" w:rsidP="00481B62">
      <w:pPr>
        <w:pStyle w:val="3GPPHeader"/>
        <w:rPr>
          <w:sz w:val="22"/>
          <w:szCs w:val="22"/>
          <w:lang w:val="en-US"/>
        </w:rPr>
      </w:pPr>
      <w:r w:rsidRPr="00DD3521">
        <w:rPr>
          <w:sz w:val="22"/>
          <w:szCs w:val="22"/>
          <w:lang w:val="en-US"/>
        </w:rPr>
        <w:t>Agenda Item:</w:t>
      </w:r>
      <w:r w:rsidRPr="00DD3521">
        <w:rPr>
          <w:sz w:val="22"/>
          <w:szCs w:val="22"/>
          <w:lang w:val="en-US"/>
        </w:rPr>
        <w:tab/>
      </w:r>
      <w:r w:rsidR="00992E7E">
        <w:rPr>
          <w:sz w:val="22"/>
          <w:szCs w:val="22"/>
          <w:lang w:val="en-US"/>
        </w:rPr>
        <w:t>6.4.2</w:t>
      </w:r>
      <w:bookmarkStart w:id="1" w:name="_GoBack"/>
      <w:bookmarkEnd w:id="1"/>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77837826" w:rsidR="00567A11" w:rsidRPr="009E5D8E" w:rsidRDefault="00567A11" w:rsidP="00567A11">
      <w:pPr>
        <w:pStyle w:val="3GPPHeader"/>
        <w:rPr>
          <w:sz w:val="22"/>
          <w:szCs w:val="22"/>
          <w:lang w:val="en-US"/>
        </w:rPr>
      </w:pPr>
      <w:r>
        <w:rPr>
          <w:sz w:val="22"/>
          <w:szCs w:val="22"/>
        </w:rPr>
        <w:t>Title:</w:t>
      </w:r>
      <w:r w:rsidRPr="00CE0424">
        <w:rPr>
          <w:sz w:val="22"/>
          <w:szCs w:val="22"/>
        </w:rPr>
        <w:tab/>
      </w:r>
      <w:r w:rsidR="009E5D8E">
        <w:rPr>
          <w:sz w:val="22"/>
          <w:szCs w:val="22"/>
          <w:lang w:val="en-US"/>
        </w:rPr>
        <w:t>Discussion on PDCP left issues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61A5011D" w14:textId="481AEB77" w:rsidR="00F7135F" w:rsidRPr="004457DD" w:rsidRDefault="00F7135F" w:rsidP="00F7135F">
      <w:pPr>
        <w:pStyle w:val="BodyText"/>
        <w:rPr>
          <w:rFonts w:eastAsia="DengXian"/>
        </w:rPr>
      </w:pPr>
      <w:bookmarkStart w:id="3" w:name="_Ref458784108"/>
      <w:bookmarkStart w:id="4" w:name="_Ref458381469"/>
      <w:r w:rsidRPr="00CC69E5">
        <w:t xml:space="preserve">In this paper, we discuss </w:t>
      </w:r>
      <w:r w:rsidR="00086909">
        <w:t>the left issues related to PDCP specification.</w:t>
      </w:r>
      <w:r>
        <w:t xml:space="preserve"> </w:t>
      </w:r>
    </w:p>
    <w:p w14:paraId="12288EB4" w14:textId="55324FAB" w:rsidR="006B0C7E" w:rsidRDefault="00A74E18" w:rsidP="00BB2394">
      <w:pPr>
        <w:pStyle w:val="Heading1"/>
      </w:pPr>
      <w:bookmarkStart w:id="5" w:name="_Ref489281230"/>
      <w:r>
        <w:t>Discussion</w:t>
      </w:r>
      <w:bookmarkEnd w:id="3"/>
      <w:bookmarkEnd w:id="5"/>
    </w:p>
    <w:p w14:paraId="5651DFE2" w14:textId="29EB69DD" w:rsidR="00086909" w:rsidRDefault="00FB2DC4" w:rsidP="00743D51">
      <w:pPr>
        <w:pStyle w:val="Heading2"/>
      </w:pPr>
      <w:bookmarkStart w:id="6" w:name="_Hlk16259064"/>
      <w:r>
        <w:t>Out-of-order delivery</w:t>
      </w:r>
    </w:p>
    <w:p w14:paraId="474900E0" w14:textId="4E63F93A" w:rsidR="00FB2DC4" w:rsidRDefault="00FB2DC4" w:rsidP="00FB2DC4">
      <w:r>
        <w:t xml:space="preserve">In NR </w:t>
      </w:r>
      <w:proofErr w:type="spellStart"/>
      <w:r>
        <w:t>Uu</w:t>
      </w:r>
      <w:proofErr w:type="spellEnd"/>
      <w:r>
        <w:t xml:space="preserve">, the feature of out-of-order delivery is for services that demand low latency, such that the receiver UE can reduce the processing delay by delivering the packet without re-ordering. In NR </w:t>
      </w:r>
      <w:proofErr w:type="spellStart"/>
      <w:r>
        <w:t>Uu</w:t>
      </w:r>
      <w:proofErr w:type="spellEnd"/>
      <w:r>
        <w:t xml:space="preserve">, UE reports to NW whether it is out-of-order delivery capable in UE capability, and NW configures the SLRB accordingly. </w:t>
      </w:r>
    </w:p>
    <w:p w14:paraId="6A7440D7" w14:textId="59B6850F" w:rsidR="00FB2DC4" w:rsidRPr="00FB2DC4" w:rsidRDefault="00EA2093" w:rsidP="00FB2DC4">
      <w:r>
        <w:t xml:space="preserve">For NR </w:t>
      </w:r>
      <w:proofErr w:type="spellStart"/>
      <w:r>
        <w:t>sidelink</w:t>
      </w:r>
      <w:proofErr w:type="spellEnd"/>
      <w:r>
        <w:t>, whether/how to support of PDCP out-of-delivery is discussed in the previous meeting and 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B2DC4" w14:paraId="693C7414" w14:textId="77777777" w:rsidTr="00033815">
        <w:tc>
          <w:tcPr>
            <w:tcW w:w="9855" w:type="dxa"/>
            <w:shd w:val="clear" w:color="auto" w:fill="auto"/>
          </w:tcPr>
          <w:p w14:paraId="09EA82A1" w14:textId="13AB3237" w:rsidR="00FB2DC4" w:rsidRPr="00033815" w:rsidRDefault="00FB2DC4" w:rsidP="00FB2DC4">
            <w:pPr>
              <w:rPr>
                <w:b/>
              </w:rPr>
            </w:pPr>
            <w:r w:rsidRPr="00033815">
              <w:rPr>
                <w:b/>
              </w:rPr>
              <w:t>RAN2#107</w:t>
            </w:r>
          </w:p>
          <w:p w14:paraId="14603CF3" w14:textId="7A8ABA5A" w:rsidR="00FB2DC4" w:rsidRPr="00033815" w:rsidRDefault="00FB2DC4" w:rsidP="00FB2DC4">
            <w:pPr>
              <w:rPr>
                <w:b/>
              </w:rPr>
            </w:pPr>
            <w:r w:rsidRPr="00033815">
              <w:rPr>
                <w:b/>
                <w:highlight w:val="green"/>
              </w:rPr>
              <w:t>Agreements on PDCP:</w:t>
            </w:r>
          </w:p>
          <w:p w14:paraId="4F3E1861" w14:textId="6858090E" w:rsidR="00FB2DC4" w:rsidRDefault="00FB2DC4" w:rsidP="00FB2DC4">
            <w:r>
              <w:t>7:</w:t>
            </w:r>
            <w:r>
              <w:tab/>
              <w:t>The PDCP reordering and in-order delivery is supported for all cast types.</w:t>
            </w:r>
          </w:p>
          <w:p w14:paraId="2E926F2C" w14:textId="77777777" w:rsidR="00FB2DC4" w:rsidRDefault="00FB2DC4" w:rsidP="00FB2DC4">
            <w:r>
              <w:t>8:</w:t>
            </w:r>
            <w:r>
              <w:tab/>
              <w:t>PDCP out-of-order delivery can be supported for SL unicast types. FFS for groupcast and broadcast.</w:t>
            </w:r>
          </w:p>
          <w:p w14:paraId="519B4813" w14:textId="77777777" w:rsidR="00FB2DC4" w:rsidRDefault="00FB2DC4" w:rsidP="00FB2DC4"/>
          <w:p w14:paraId="33F4D5D8" w14:textId="371BFE90" w:rsidR="00FB2DC4" w:rsidRPr="00033815" w:rsidRDefault="00FB2DC4" w:rsidP="00FB2DC4">
            <w:pPr>
              <w:rPr>
                <w:b/>
                <w:highlight w:val="green"/>
              </w:rPr>
            </w:pPr>
            <w:r w:rsidRPr="00033815">
              <w:rPr>
                <w:b/>
                <w:highlight w:val="green"/>
              </w:rPr>
              <w:t xml:space="preserve">Agreements on SLRB configuration: </w:t>
            </w:r>
          </w:p>
          <w:p w14:paraId="52BC7E42" w14:textId="77777777" w:rsidR="00FB2DC4" w:rsidRDefault="00FB2DC4" w:rsidP="00FB2DC4">
            <w:r>
              <w:t xml:space="preserve">3-6: </w:t>
            </w:r>
            <w:proofErr w:type="spellStart"/>
            <w:r>
              <w:t>OutOfOrderDelivery</w:t>
            </w:r>
            <w:proofErr w:type="spellEnd"/>
            <w:r>
              <w:t xml:space="preserve"> is Rx only parameter and applicable to SL unicast. FFS on SL broadcast, groupcast. FFS on TX case.</w:t>
            </w:r>
          </w:p>
          <w:p w14:paraId="24448C0F" w14:textId="77777777" w:rsidR="00FB2DC4" w:rsidRDefault="00FB2DC4" w:rsidP="00FB2DC4">
            <w:r>
              <w:t xml:space="preserve">6-1: For SL groupcast, it is up to UE implementation on how to set the Rx only SLRB parameters. </w:t>
            </w:r>
          </w:p>
          <w:p w14:paraId="3AD06EEE" w14:textId="74BDEC5E" w:rsidR="00FB2DC4" w:rsidRDefault="00FB2DC4" w:rsidP="00FB2DC4">
            <w:r>
              <w:t>6-2: For SL unicast, it is up to UE implementation on how to set the Rx only SLRB parameters.</w:t>
            </w:r>
          </w:p>
        </w:tc>
      </w:tr>
    </w:tbl>
    <w:p w14:paraId="08D367B3" w14:textId="07321C52" w:rsidR="00FB2DC4" w:rsidRDefault="00FB2DC4" w:rsidP="00FB2DC4"/>
    <w:p w14:paraId="35353CCE" w14:textId="790DD094" w:rsidR="007D7C03" w:rsidRDefault="00EA2093" w:rsidP="00FB2DC4">
      <w:proofErr w:type="gramStart"/>
      <w:r>
        <w:t>First of all</w:t>
      </w:r>
      <w:proofErr w:type="gramEnd"/>
      <w:r>
        <w:t xml:space="preserve">, regarding whether out-of-order delivery can be applied to </w:t>
      </w:r>
      <w:proofErr w:type="spellStart"/>
      <w:r>
        <w:t>sidelink</w:t>
      </w:r>
      <w:proofErr w:type="spellEnd"/>
      <w:r>
        <w:t xml:space="preserve"> groupcast and broadcast, in our understanding, some groupcast/broadcast services may also demand low latency treatment. Thus, it makes sense to support out-of-order delivery for </w:t>
      </w:r>
      <w:proofErr w:type="spellStart"/>
      <w:r>
        <w:t>sidelink</w:t>
      </w:r>
      <w:proofErr w:type="spellEnd"/>
      <w:r>
        <w:t xml:space="preserve"> groupcast/broadcast from service point of view. </w:t>
      </w:r>
      <w:r w:rsidR="007D7C03">
        <w:t xml:space="preserve">Besides, for </w:t>
      </w:r>
      <w:proofErr w:type="spellStart"/>
      <w:r w:rsidR="007D7C03">
        <w:t>sidelink</w:t>
      </w:r>
      <w:proofErr w:type="spellEnd"/>
      <w:r w:rsidR="007D7C03">
        <w:t xml:space="preserve"> broadcast services and some groupcast services, the service type is reflected from the L2 destination ID. The receiver UE can therefore understand whether the received packet is associated with a low latency service and whether out-of-order delivery should be adopted. </w:t>
      </w:r>
    </w:p>
    <w:p w14:paraId="047C7D46" w14:textId="2207B98D" w:rsidR="00EA2093" w:rsidRDefault="00EA2093" w:rsidP="00EA2093">
      <w:pPr>
        <w:pStyle w:val="Observation"/>
      </w:pPr>
      <w:bookmarkStart w:id="7" w:name="_Toc23788883"/>
      <w:r>
        <w:t>Sidelink groupcast/broadcast services may demand low latency and can benefit from PDCP out-of-order delivery.</w:t>
      </w:r>
      <w:bookmarkEnd w:id="7"/>
    </w:p>
    <w:p w14:paraId="489A49B4" w14:textId="77777777" w:rsidR="00306DBF" w:rsidRDefault="007D7C03" w:rsidP="00EA2093">
      <w:pPr>
        <w:pStyle w:val="Observation"/>
      </w:pPr>
      <w:bookmarkStart w:id="8" w:name="_Toc23788884"/>
      <w:r>
        <w:t xml:space="preserve">For </w:t>
      </w:r>
      <w:proofErr w:type="spellStart"/>
      <w:r>
        <w:t>sidelink</w:t>
      </w:r>
      <w:proofErr w:type="spellEnd"/>
      <w:r>
        <w:t xml:space="preserve"> broadcast services and some groupcast services, receiver UE can understand the service type from the L2 destination ID.</w:t>
      </w:r>
      <w:bookmarkEnd w:id="8"/>
    </w:p>
    <w:p w14:paraId="1625A931" w14:textId="66F6E8F5" w:rsidR="00306DBF" w:rsidRDefault="00306DBF" w:rsidP="007C302D">
      <w:pPr>
        <w:pStyle w:val="Proposal"/>
      </w:pPr>
      <w:bookmarkStart w:id="9" w:name="_Toc23864479"/>
      <w:r>
        <w:t xml:space="preserve">PDCP out-of-order delivery is supported for </w:t>
      </w:r>
      <w:proofErr w:type="spellStart"/>
      <w:r>
        <w:t>sidelink</w:t>
      </w:r>
      <w:proofErr w:type="spellEnd"/>
      <w:r>
        <w:t xml:space="preserve"> groupcast/broadcast</w:t>
      </w:r>
      <w:bookmarkEnd w:id="9"/>
    </w:p>
    <w:p w14:paraId="42A55892" w14:textId="77777777" w:rsidR="00306DBF" w:rsidRDefault="00306DBF" w:rsidP="00306DBF">
      <w:pPr>
        <w:pStyle w:val="Observation"/>
        <w:numPr>
          <w:ilvl w:val="0"/>
          <w:numId w:val="0"/>
        </w:numPr>
        <w:ind w:left="360" w:hanging="360"/>
      </w:pPr>
    </w:p>
    <w:p w14:paraId="6F9066D5" w14:textId="272C4580" w:rsidR="00306DBF" w:rsidRDefault="00306DBF" w:rsidP="00306DBF">
      <w:r>
        <w:t>With respect to whether it is a Rx only parameter and up to UE implementation or it is both TX and RX related parameter, it is discussed case by case:</w:t>
      </w:r>
    </w:p>
    <w:p w14:paraId="24AC93E4" w14:textId="74903EEC" w:rsidR="00FA06D0" w:rsidRDefault="00306DBF" w:rsidP="00306DBF">
      <w:r>
        <w:t xml:space="preserve">For </w:t>
      </w:r>
      <w:proofErr w:type="spellStart"/>
      <w:r>
        <w:t>sidelink</w:t>
      </w:r>
      <w:proofErr w:type="spellEnd"/>
      <w:r>
        <w:t xml:space="preserve"> unicast, the SLRB configuration can be easily aligned by PC5-RRC message between the transmitter UE and the receiver UE. The transmitter UE may only map the low-latency service to a SLRB that will be delivered out-of-order at the receiver side. Thus, for </w:t>
      </w:r>
      <w:proofErr w:type="spellStart"/>
      <w:r>
        <w:t>sidelink</w:t>
      </w:r>
      <w:proofErr w:type="spellEnd"/>
      <w:r>
        <w:t xml:space="preserve"> unicast out-of-order delivery should be also a SLRB parameter known by the transmitter UE. </w:t>
      </w:r>
      <w:r w:rsidR="00FA06D0">
        <w:t>Besides, to support proper configuration, out-of-order delivery capability should be exchanged between the UE pair via PC5-RRC.</w:t>
      </w:r>
    </w:p>
    <w:p w14:paraId="7FE07933" w14:textId="56224D73" w:rsidR="00FA06D0" w:rsidRDefault="00306DBF" w:rsidP="00FA06D0">
      <w:pPr>
        <w:pStyle w:val="Proposal"/>
      </w:pPr>
      <w:r>
        <w:t xml:space="preserve"> </w:t>
      </w:r>
      <w:bookmarkStart w:id="10" w:name="_Toc23864480"/>
      <w:r w:rsidR="00FA06D0">
        <w:t xml:space="preserve">For </w:t>
      </w:r>
      <w:proofErr w:type="spellStart"/>
      <w:r w:rsidR="00FA06D0">
        <w:t>sidelink</w:t>
      </w:r>
      <w:proofErr w:type="spellEnd"/>
      <w:r w:rsidR="00FA06D0">
        <w:t xml:space="preserve"> unicast, </w:t>
      </w:r>
      <w:proofErr w:type="spellStart"/>
      <w:r w:rsidR="00D477B4">
        <w:t>OutOfOrderDelivery</w:t>
      </w:r>
      <w:proofErr w:type="spellEnd"/>
      <w:r w:rsidR="00D477B4">
        <w:t xml:space="preserve"> </w:t>
      </w:r>
      <w:r w:rsidR="00FA06D0">
        <w:t>is both TX and RX related parameter. Out-of-order delivery capability is exchanged between the UE pair via PC5-RRC.</w:t>
      </w:r>
      <w:bookmarkEnd w:id="10"/>
    </w:p>
    <w:p w14:paraId="7D021701" w14:textId="77777777" w:rsidR="0043326D" w:rsidRDefault="0043326D" w:rsidP="0043326D">
      <w:pPr>
        <w:pStyle w:val="Proposal"/>
        <w:numPr>
          <w:ilvl w:val="0"/>
          <w:numId w:val="0"/>
        </w:numPr>
        <w:ind w:left="1304" w:hanging="1304"/>
      </w:pPr>
    </w:p>
    <w:p w14:paraId="06057D6B" w14:textId="17D71877" w:rsidR="007C302D" w:rsidRDefault="00EB2986" w:rsidP="00EB2986">
      <w:r>
        <w:t xml:space="preserve">For </w:t>
      </w:r>
      <w:proofErr w:type="spellStart"/>
      <w:r>
        <w:t>sidelink</w:t>
      </w:r>
      <w:proofErr w:type="spellEnd"/>
      <w:r>
        <w:t xml:space="preserve"> groupcast and broadcast, there is no procedure designed to exchange UEs’ capability and SLRB configuration</w:t>
      </w:r>
      <w:r w:rsidR="007C302D">
        <w:t xml:space="preserve"> and receiver UE can understand the service from the destination ID in most of the cases</w:t>
      </w:r>
      <w:r>
        <w:t xml:space="preserve">. </w:t>
      </w:r>
      <w:r w:rsidR="007C302D">
        <w:t xml:space="preserve">Thus, it is suggested to treat </w:t>
      </w:r>
      <w:proofErr w:type="spellStart"/>
      <w:r w:rsidR="007C302D">
        <w:t>OutOfOrderDelivery</w:t>
      </w:r>
      <w:proofErr w:type="spellEnd"/>
      <w:r w:rsidR="007C302D">
        <w:t xml:space="preserve"> as RX only parameter. </w:t>
      </w:r>
    </w:p>
    <w:p w14:paraId="322B4BD1" w14:textId="160A13CD" w:rsidR="00EB2986" w:rsidRDefault="00EB2986" w:rsidP="00EB2986">
      <w:pPr>
        <w:pStyle w:val="Proposal"/>
      </w:pPr>
      <w:bookmarkStart w:id="11" w:name="_Toc23864481"/>
      <w:r>
        <w:t xml:space="preserve">For </w:t>
      </w:r>
      <w:proofErr w:type="spellStart"/>
      <w:r>
        <w:t>sidelink</w:t>
      </w:r>
      <w:proofErr w:type="spellEnd"/>
      <w:r>
        <w:t xml:space="preserve"> groupcast</w:t>
      </w:r>
      <w:r w:rsidR="0043326D">
        <w:t xml:space="preserve"> and broadcast</w:t>
      </w:r>
      <w:r>
        <w:t xml:space="preserve">, </w:t>
      </w:r>
      <w:proofErr w:type="spellStart"/>
      <w:r>
        <w:t>OutOfOrderDelivery</w:t>
      </w:r>
      <w:proofErr w:type="spellEnd"/>
      <w:r>
        <w:t xml:space="preserve"> is RX only parameter.</w:t>
      </w:r>
      <w:bookmarkEnd w:id="11"/>
    </w:p>
    <w:p w14:paraId="1BA64E9B" w14:textId="77777777" w:rsidR="0043326D" w:rsidRDefault="0043326D" w:rsidP="0043326D">
      <w:pPr>
        <w:pStyle w:val="Proposal"/>
        <w:numPr>
          <w:ilvl w:val="0"/>
          <w:numId w:val="0"/>
        </w:numPr>
        <w:ind w:left="1304" w:hanging="1304"/>
      </w:pPr>
    </w:p>
    <w:p w14:paraId="30D9AE5D" w14:textId="5DFDAB9F" w:rsidR="00FB2DC4" w:rsidRDefault="00FB2DC4" w:rsidP="00FB2DC4">
      <w:pPr>
        <w:pStyle w:val="Heading2"/>
      </w:pPr>
      <w:r>
        <w:t>PDCP re-establishment and status report</w:t>
      </w:r>
    </w:p>
    <w:p w14:paraId="6352A16E" w14:textId="2BAD7B7B" w:rsidR="00377428" w:rsidRDefault="00EB2986" w:rsidP="00377428">
      <w:pPr>
        <w:rPr>
          <w:lang w:val="en-US"/>
        </w:rPr>
      </w:pPr>
      <w:r w:rsidRPr="00EB2986">
        <w:rPr>
          <w:lang w:val="en-US"/>
        </w:rPr>
        <w:t xml:space="preserve">In NR </w:t>
      </w:r>
      <w:proofErr w:type="spellStart"/>
      <w:r w:rsidRPr="00EB2986">
        <w:rPr>
          <w:lang w:val="en-US"/>
        </w:rPr>
        <w:t>Uu</w:t>
      </w:r>
      <w:proofErr w:type="spellEnd"/>
      <w:r w:rsidRPr="00EB2986">
        <w:rPr>
          <w:lang w:val="en-US"/>
        </w:rPr>
        <w:t xml:space="preserve">, </w:t>
      </w:r>
      <w:r w:rsidR="0043326D">
        <w:rPr>
          <w:lang w:val="en-US"/>
        </w:rPr>
        <w:t xml:space="preserve">during handover procedure, the </w:t>
      </w:r>
      <w:r w:rsidR="00513383">
        <w:rPr>
          <w:lang w:val="en-US"/>
        </w:rPr>
        <w:t>existing PDCP will be re-established according to configuration form the new cell and PDCP status report will be sent to the new cel</w:t>
      </w:r>
      <w:r w:rsidR="0001465B">
        <w:rPr>
          <w:lang w:val="en-US"/>
        </w:rPr>
        <w:t xml:space="preserve">l so that NW can understand </w:t>
      </w:r>
      <w:r w:rsidR="00BB0A12">
        <w:rPr>
          <w:lang w:val="en-US"/>
        </w:rPr>
        <w:t xml:space="preserve">what PDCP PDUs are in the list waiting for transmission. However, in SL, such scenario does not exist that a UE is switching from one UE to anther UE, thus there is no need to consider PDCP re-establishment and status report transmission. </w:t>
      </w:r>
    </w:p>
    <w:p w14:paraId="4967E627" w14:textId="0C3C9FBE" w:rsidR="00BB0A12" w:rsidRPr="00EB2986" w:rsidRDefault="00BB0A12" w:rsidP="00BB0A12">
      <w:pPr>
        <w:pStyle w:val="Proposal"/>
        <w:rPr>
          <w:lang w:val="en-US"/>
        </w:rPr>
      </w:pPr>
      <w:bookmarkStart w:id="12" w:name="_Toc23864482"/>
      <w:r>
        <w:rPr>
          <w:lang w:val="en-US"/>
        </w:rPr>
        <w:t xml:space="preserve">NR </w:t>
      </w:r>
      <w:proofErr w:type="spellStart"/>
      <w:r>
        <w:rPr>
          <w:lang w:val="en-US"/>
        </w:rPr>
        <w:t>sidelink</w:t>
      </w:r>
      <w:proofErr w:type="spellEnd"/>
      <w:r>
        <w:rPr>
          <w:lang w:val="en-US"/>
        </w:rPr>
        <w:t xml:space="preserve"> does not consider PDCP re-establishment and status report.</w:t>
      </w:r>
      <w:bookmarkEnd w:id="12"/>
      <w:r>
        <w:rPr>
          <w:lang w:val="en-US"/>
        </w:rPr>
        <w:t xml:space="preserve"> </w:t>
      </w:r>
    </w:p>
    <w:p w14:paraId="15B8F81D" w14:textId="741336F7" w:rsidR="00FB2DC4" w:rsidRPr="00EB2986" w:rsidRDefault="00FB2DC4" w:rsidP="00FB2DC4">
      <w:pPr>
        <w:rPr>
          <w:lang w:val="en-US"/>
        </w:rPr>
      </w:pPr>
    </w:p>
    <w:p w14:paraId="2030980B" w14:textId="38E8CB6F" w:rsidR="00FB2DC4" w:rsidRDefault="00FB2DC4" w:rsidP="00FB2DC4">
      <w:pPr>
        <w:pStyle w:val="Heading2"/>
      </w:pPr>
      <w:r>
        <w:t>PDCP SDU type</w:t>
      </w:r>
    </w:p>
    <w:p w14:paraId="2642ED9A" w14:textId="77777777" w:rsidR="00513383" w:rsidRDefault="00513383" w:rsidP="0043326D">
      <w:r>
        <w:t>In RAN2#107 meeting, whether PDCP</w:t>
      </w:r>
      <w:r w:rsidRPr="00513383">
        <w:t xml:space="preserve"> SDU Type field</w:t>
      </w:r>
      <w:r>
        <w:t xml:space="preserve"> will indicate ARP and PC5-S types is agreed FFS. </w:t>
      </w:r>
    </w:p>
    <w:p w14:paraId="55D12D73" w14:textId="70A1F04E" w:rsidR="0043326D" w:rsidRDefault="0043326D" w:rsidP="0043326D">
      <w:r>
        <w:t xml:space="preserve">In the last </w:t>
      </w:r>
      <w:r w:rsidR="00513383">
        <w:t xml:space="preserve">RAN2#107bis </w:t>
      </w:r>
      <w:r>
        <w:t>meeting, RAN2 agreed to carry PC5-S signalling via SCCH, thus it is obvious that PC5-S signalling will not be treated as</w:t>
      </w:r>
      <w:r w:rsidR="00513383">
        <w:t xml:space="preserve"> a special PDCP packet type. </w:t>
      </w:r>
    </w:p>
    <w:p w14:paraId="0F8CC57E" w14:textId="3032595E" w:rsidR="00513383" w:rsidRPr="0043326D" w:rsidRDefault="00513383" w:rsidP="0043326D">
      <w:r>
        <w:t>Regarding whether ARP</w:t>
      </w:r>
      <w:r w:rsidR="00B970FA">
        <w:t xml:space="preserve"> SDU type</w:t>
      </w:r>
      <w:r>
        <w:t xml:space="preserve"> should be </w:t>
      </w:r>
      <w:r w:rsidR="00B970FA">
        <w:t xml:space="preserve">captured, in our understanding, ARP type of packet is not supported/mentioned in the latest SA2’s specification, thus there is no need for RAN2 to consider it for PDCP design.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3326D" w14:paraId="4DB85EE0" w14:textId="77777777" w:rsidTr="00033815">
        <w:tc>
          <w:tcPr>
            <w:tcW w:w="9855" w:type="dxa"/>
            <w:shd w:val="clear" w:color="auto" w:fill="auto"/>
          </w:tcPr>
          <w:p w14:paraId="0522CCD1" w14:textId="77777777" w:rsidR="00513383" w:rsidRPr="00033815" w:rsidRDefault="00513383" w:rsidP="0043326D">
            <w:pPr>
              <w:rPr>
                <w:b/>
              </w:rPr>
            </w:pPr>
            <w:r w:rsidRPr="00033815">
              <w:rPr>
                <w:b/>
              </w:rPr>
              <w:t>RAN2#107</w:t>
            </w:r>
          </w:p>
          <w:p w14:paraId="19A2769A" w14:textId="23181890" w:rsidR="00513383" w:rsidRPr="00033815" w:rsidRDefault="00513383" w:rsidP="0043326D">
            <w:pPr>
              <w:rPr>
                <w:b/>
                <w:highlight w:val="green"/>
              </w:rPr>
            </w:pPr>
            <w:r w:rsidRPr="00033815">
              <w:rPr>
                <w:b/>
                <w:highlight w:val="green"/>
              </w:rPr>
              <w:t>Agreements</w:t>
            </w:r>
          </w:p>
          <w:p w14:paraId="1CA2F918" w14:textId="6E730D59" w:rsidR="00513383" w:rsidRDefault="00513383" w:rsidP="0043326D">
            <w:r>
              <w:t>IP and non-IP types field are needed. FFS for ARP and PC5 Signalling Protocol.</w:t>
            </w:r>
          </w:p>
          <w:p w14:paraId="4ED402A5" w14:textId="77777777" w:rsidR="00513383" w:rsidRPr="00033815" w:rsidRDefault="00513383" w:rsidP="0043326D">
            <w:pPr>
              <w:rPr>
                <w:b/>
                <w:highlight w:val="green"/>
              </w:rPr>
            </w:pPr>
          </w:p>
          <w:p w14:paraId="4D769CF1" w14:textId="60864218" w:rsidR="0043326D" w:rsidRPr="00033815" w:rsidRDefault="0043326D" w:rsidP="0043326D">
            <w:pPr>
              <w:rPr>
                <w:b/>
              </w:rPr>
            </w:pPr>
            <w:r w:rsidRPr="00033815">
              <w:rPr>
                <w:b/>
              </w:rPr>
              <w:t>RAN2#107bis</w:t>
            </w:r>
          </w:p>
          <w:p w14:paraId="351C8407" w14:textId="24398380" w:rsidR="0043326D" w:rsidRPr="00033815" w:rsidRDefault="0043326D" w:rsidP="0043326D">
            <w:pPr>
              <w:rPr>
                <w:b/>
                <w:highlight w:val="green"/>
              </w:rPr>
            </w:pPr>
            <w:r w:rsidRPr="00033815">
              <w:rPr>
                <w:b/>
                <w:highlight w:val="green"/>
              </w:rPr>
              <w:t xml:space="preserve">Agreements on PC5-S and PC5-RRC: </w:t>
            </w:r>
          </w:p>
          <w:p w14:paraId="2201D36A" w14:textId="77777777" w:rsidR="0043326D" w:rsidRDefault="0043326D" w:rsidP="0043326D">
            <w:r>
              <w:t xml:space="preserve">1: </w:t>
            </w:r>
            <w:r>
              <w:tab/>
              <w:t xml:space="preserve">The Sidelink Control Channel (SCCH) is used to carry PC5-S </w:t>
            </w:r>
            <w:proofErr w:type="spellStart"/>
            <w:r>
              <w:t>signaling</w:t>
            </w:r>
            <w:proofErr w:type="spellEnd"/>
            <w:r>
              <w:t>.</w:t>
            </w:r>
          </w:p>
          <w:p w14:paraId="33EE0812" w14:textId="6786C963" w:rsidR="0043326D" w:rsidRDefault="0043326D" w:rsidP="0043326D">
            <w:r>
              <w:t>2:</w:t>
            </w:r>
            <w:r>
              <w:tab/>
              <w:t xml:space="preserve">The SL-SRB carrying PC5-S </w:t>
            </w:r>
            <w:proofErr w:type="spellStart"/>
            <w:r>
              <w:t>signaling</w:t>
            </w:r>
            <w:proofErr w:type="spellEnd"/>
            <w:r>
              <w:t xml:space="preserve"> is separated from the SL-SRB carrying PC5-RRC messages.</w:t>
            </w:r>
          </w:p>
        </w:tc>
      </w:tr>
    </w:tbl>
    <w:p w14:paraId="7C65D6A8" w14:textId="77777777" w:rsidR="0043326D" w:rsidRPr="0043326D" w:rsidRDefault="0043326D" w:rsidP="0043326D"/>
    <w:p w14:paraId="55445EEA" w14:textId="6E1E1FAD" w:rsidR="00FB2DC4" w:rsidRDefault="00B970FA" w:rsidP="00B970FA">
      <w:pPr>
        <w:pStyle w:val="Proposal"/>
      </w:pPr>
      <w:bookmarkStart w:id="13" w:name="_Toc23864483"/>
      <w:r>
        <w:t>ARP and PC5-S are not considered as two PDCP SDU types.</w:t>
      </w:r>
      <w:bookmarkEnd w:id="13"/>
    </w:p>
    <w:p w14:paraId="5636E0BC" w14:textId="77777777" w:rsidR="00B970FA" w:rsidRPr="00B970FA" w:rsidRDefault="00B970FA" w:rsidP="00B970FA"/>
    <w:p w14:paraId="335A2985" w14:textId="77777777" w:rsidR="00A74E18" w:rsidRPr="00CE0424" w:rsidRDefault="00A74E18" w:rsidP="00A74E18">
      <w:pPr>
        <w:pStyle w:val="Heading1"/>
      </w:pPr>
      <w:bookmarkStart w:id="14" w:name="_Toc458380516"/>
      <w:bookmarkStart w:id="15" w:name="_Toc458380524"/>
      <w:bookmarkEnd w:id="4"/>
      <w:bookmarkEnd w:id="6"/>
      <w:bookmarkEnd w:id="14"/>
      <w:bookmarkEnd w:id="15"/>
      <w:r w:rsidRPr="00CE0424">
        <w:lastRenderedPageBreak/>
        <w:t>Conclusion</w:t>
      </w:r>
    </w:p>
    <w:p w14:paraId="24F7A511" w14:textId="77777777" w:rsidR="00176FFB" w:rsidRDefault="00176FFB" w:rsidP="00176FFB">
      <w:bookmarkStart w:id="16" w:name="_In-sequence_SDU_delivery"/>
      <w:bookmarkStart w:id="17" w:name="_Hlk16703546"/>
      <w:bookmarkEnd w:id="16"/>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78EFC2B5" w14:textId="77777777" w:rsidR="00B970FA" w:rsidRPr="00033815" w:rsidRDefault="00114C51">
      <w:pPr>
        <w:pStyle w:val="TableofFigures"/>
        <w:tabs>
          <w:tab w:val="right" w:leader="dot" w:pos="9629"/>
        </w:tabs>
        <w:rPr>
          <w:rFonts w:ascii="Calibri" w:eastAsia="DengXian" w:hAnsi="Calibri"/>
          <w:b w:val="0"/>
          <w:noProof/>
          <w:sz w:val="22"/>
          <w:szCs w:val="22"/>
        </w:rPr>
      </w:pPr>
      <w:r>
        <w:fldChar w:fldCharType="begin"/>
      </w:r>
      <w:r>
        <w:instrText xml:space="preserve"> TOC \n \h \z \t "Observation" \c </w:instrText>
      </w:r>
      <w:r>
        <w:fldChar w:fldCharType="separate"/>
      </w:r>
      <w:hyperlink w:anchor="_Toc23788883" w:history="1">
        <w:r w:rsidR="00B970FA" w:rsidRPr="00E14217">
          <w:rPr>
            <w:rStyle w:val="Hyperlink"/>
            <w:rFonts w:cs="Arial"/>
            <w:noProof/>
          </w:rPr>
          <w:t>Observation 1</w:t>
        </w:r>
        <w:r w:rsidR="00B970FA" w:rsidRPr="00033815">
          <w:rPr>
            <w:rFonts w:ascii="Calibri" w:eastAsia="DengXian" w:hAnsi="Calibri"/>
            <w:b w:val="0"/>
            <w:noProof/>
            <w:sz w:val="22"/>
            <w:szCs w:val="22"/>
          </w:rPr>
          <w:tab/>
        </w:r>
        <w:r w:rsidR="00B970FA" w:rsidRPr="00E14217">
          <w:rPr>
            <w:rStyle w:val="Hyperlink"/>
            <w:noProof/>
          </w:rPr>
          <w:t>Sidelink groupcast/broadcast services may demand low latency and can benefit from PDCP out-of-order delivery.</w:t>
        </w:r>
      </w:hyperlink>
    </w:p>
    <w:p w14:paraId="210D94DD" w14:textId="77777777" w:rsidR="00B970FA" w:rsidRPr="00033815" w:rsidRDefault="0000693A">
      <w:pPr>
        <w:pStyle w:val="TableofFigures"/>
        <w:tabs>
          <w:tab w:val="right" w:leader="dot" w:pos="9629"/>
        </w:tabs>
        <w:rPr>
          <w:rFonts w:ascii="Calibri" w:eastAsia="DengXian" w:hAnsi="Calibri"/>
          <w:b w:val="0"/>
          <w:noProof/>
          <w:sz w:val="22"/>
          <w:szCs w:val="22"/>
        </w:rPr>
      </w:pPr>
      <w:hyperlink w:anchor="_Toc23788884" w:history="1">
        <w:r w:rsidR="00B970FA" w:rsidRPr="00E14217">
          <w:rPr>
            <w:rStyle w:val="Hyperlink"/>
            <w:rFonts w:cs="Arial"/>
            <w:noProof/>
          </w:rPr>
          <w:t>Observation 2</w:t>
        </w:r>
        <w:r w:rsidR="00B970FA" w:rsidRPr="00033815">
          <w:rPr>
            <w:rFonts w:ascii="Calibri" w:eastAsia="DengXian" w:hAnsi="Calibri"/>
            <w:b w:val="0"/>
            <w:noProof/>
            <w:sz w:val="22"/>
            <w:szCs w:val="22"/>
          </w:rPr>
          <w:tab/>
        </w:r>
        <w:r w:rsidR="00B970FA" w:rsidRPr="00E14217">
          <w:rPr>
            <w:rStyle w:val="Hyperlink"/>
            <w:noProof/>
          </w:rPr>
          <w:t>For sidelink broadcast services and some groupcast services, receiver UE can understand the service type from the L2 destination ID.</w:t>
        </w:r>
      </w:hyperlink>
    </w:p>
    <w:p w14:paraId="4211077C" w14:textId="57E7F6B1" w:rsidR="00114C51" w:rsidRPr="000720CE" w:rsidRDefault="00114C51" w:rsidP="000720CE">
      <w:pPr>
        <w:pStyle w:val="TableofFigures"/>
        <w:tabs>
          <w:tab w:val="right" w:leader="dot" w:pos="9629"/>
        </w:tabs>
        <w:rPr>
          <w:rFonts w:cs="Arial"/>
          <w:color w:val="0000FF"/>
          <w:u w:val="single"/>
        </w:rPr>
      </w:pPr>
      <w:r>
        <w:fldChar w:fldCharType="end"/>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66C1E9DE" w14:textId="77777777" w:rsidR="006C6B1B" w:rsidRPr="0000693A" w:rsidRDefault="002A1081">
      <w:pPr>
        <w:pStyle w:val="TableofFigures"/>
        <w:tabs>
          <w:tab w:val="right" w:leader="dot" w:pos="9629"/>
        </w:tabs>
        <w:rPr>
          <w:rFonts w:ascii="Calibri" w:eastAsia="DengXian" w:hAnsi="Calibr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23864479" w:history="1">
        <w:r w:rsidR="006C6B1B" w:rsidRPr="002D621C">
          <w:rPr>
            <w:rStyle w:val="Hyperlink"/>
            <w:noProof/>
          </w:rPr>
          <w:t>Proposal 1</w:t>
        </w:r>
        <w:r w:rsidR="006C6B1B" w:rsidRPr="0000693A">
          <w:rPr>
            <w:rFonts w:ascii="Calibri" w:eastAsia="DengXian" w:hAnsi="Calibri"/>
            <w:b w:val="0"/>
            <w:noProof/>
            <w:sz w:val="22"/>
            <w:szCs w:val="22"/>
          </w:rPr>
          <w:tab/>
        </w:r>
        <w:r w:rsidR="006C6B1B" w:rsidRPr="002D621C">
          <w:rPr>
            <w:rStyle w:val="Hyperlink"/>
            <w:noProof/>
          </w:rPr>
          <w:t>PDCP out-of-order delivery is supported for sidelink groupcast/broadcast</w:t>
        </w:r>
      </w:hyperlink>
    </w:p>
    <w:p w14:paraId="3835C4E9" w14:textId="77777777" w:rsidR="006C6B1B" w:rsidRPr="0000693A" w:rsidRDefault="0000693A">
      <w:pPr>
        <w:pStyle w:val="TableofFigures"/>
        <w:tabs>
          <w:tab w:val="right" w:leader="dot" w:pos="9629"/>
        </w:tabs>
        <w:rPr>
          <w:rFonts w:ascii="Calibri" w:eastAsia="DengXian" w:hAnsi="Calibri"/>
          <w:b w:val="0"/>
          <w:noProof/>
          <w:sz w:val="22"/>
          <w:szCs w:val="22"/>
        </w:rPr>
      </w:pPr>
      <w:hyperlink w:anchor="_Toc23864480" w:history="1">
        <w:r w:rsidR="006C6B1B" w:rsidRPr="002D621C">
          <w:rPr>
            <w:rStyle w:val="Hyperlink"/>
            <w:noProof/>
          </w:rPr>
          <w:t>Proposal 2</w:t>
        </w:r>
        <w:r w:rsidR="006C6B1B" w:rsidRPr="0000693A">
          <w:rPr>
            <w:rFonts w:ascii="Calibri" w:eastAsia="DengXian" w:hAnsi="Calibri"/>
            <w:b w:val="0"/>
            <w:noProof/>
            <w:sz w:val="22"/>
            <w:szCs w:val="22"/>
          </w:rPr>
          <w:tab/>
        </w:r>
        <w:r w:rsidR="006C6B1B" w:rsidRPr="002D621C">
          <w:rPr>
            <w:rStyle w:val="Hyperlink"/>
            <w:noProof/>
          </w:rPr>
          <w:t>For sidelink unicast, OutOfOrderDelivery is both TX and RX related parameter. Out-of-order delivery capability is exchanged between the UE pair via PC5-RRC.</w:t>
        </w:r>
      </w:hyperlink>
    </w:p>
    <w:p w14:paraId="01D001A1" w14:textId="77777777" w:rsidR="006C6B1B" w:rsidRPr="0000693A" w:rsidRDefault="0000693A">
      <w:pPr>
        <w:pStyle w:val="TableofFigures"/>
        <w:tabs>
          <w:tab w:val="right" w:leader="dot" w:pos="9629"/>
        </w:tabs>
        <w:rPr>
          <w:rFonts w:ascii="Calibri" w:eastAsia="DengXian" w:hAnsi="Calibri"/>
          <w:b w:val="0"/>
          <w:noProof/>
          <w:sz w:val="22"/>
          <w:szCs w:val="22"/>
        </w:rPr>
      </w:pPr>
      <w:hyperlink w:anchor="_Toc23864481" w:history="1">
        <w:r w:rsidR="006C6B1B" w:rsidRPr="002D621C">
          <w:rPr>
            <w:rStyle w:val="Hyperlink"/>
            <w:noProof/>
          </w:rPr>
          <w:t>Proposal 3</w:t>
        </w:r>
        <w:r w:rsidR="006C6B1B" w:rsidRPr="0000693A">
          <w:rPr>
            <w:rFonts w:ascii="Calibri" w:eastAsia="DengXian" w:hAnsi="Calibri"/>
            <w:b w:val="0"/>
            <w:noProof/>
            <w:sz w:val="22"/>
            <w:szCs w:val="22"/>
          </w:rPr>
          <w:tab/>
        </w:r>
        <w:r w:rsidR="006C6B1B" w:rsidRPr="002D621C">
          <w:rPr>
            <w:rStyle w:val="Hyperlink"/>
            <w:noProof/>
          </w:rPr>
          <w:t>For sidelink groupcast and broadcast, OutOfOrderDelivery is RX only parameter.</w:t>
        </w:r>
      </w:hyperlink>
    </w:p>
    <w:p w14:paraId="23DB2EF1" w14:textId="77777777" w:rsidR="006C6B1B" w:rsidRPr="0000693A" w:rsidRDefault="0000693A">
      <w:pPr>
        <w:pStyle w:val="TableofFigures"/>
        <w:tabs>
          <w:tab w:val="right" w:leader="dot" w:pos="9629"/>
        </w:tabs>
        <w:rPr>
          <w:rFonts w:ascii="Calibri" w:eastAsia="DengXian" w:hAnsi="Calibri"/>
          <w:b w:val="0"/>
          <w:noProof/>
          <w:sz w:val="22"/>
          <w:szCs w:val="22"/>
        </w:rPr>
      </w:pPr>
      <w:hyperlink w:anchor="_Toc23864482" w:history="1">
        <w:r w:rsidR="006C6B1B" w:rsidRPr="002D621C">
          <w:rPr>
            <w:rStyle w:val="Hyperlink"/>
            <w:noProof/>
            <w:lang w:val="en-US"/>
          </w:rPr>
          <w:t>Proposal 4</w:t>
        </w:r>
        <w:r w:rsidR="006C6B1B" w:rsidRPr="0000693A">
          <w:rPr>
            <w:rFonts w:ascii="Calibri" w:eastAsia="DengXian" w:hAnsi="Calibri"/>
            <w:b w:val="0"/>
            <w:noProof/>
            <w:sz w:val="22"/>
            <w:szCs w:val="22"/>
          </w:rPr>
          <w:tab/>
        </w:r>
        <w:r w:rsidR="006C6B1B" w:rsidRPr="002D621C">
          <w:rPr>
            <w:rStyle w:val="Hyperlink"/>
            <w:noProof/>
            <w:lang w:val="en-US"/>
          </w:rPr>
          <w:t>NR sidelink does not consider PDCP re-establishment and status report.</w:t>
        </w:r>
      </w:hyperlink>
    </w:p>
    <w:p w14:paraId="2AA4A8E6" w14:textId="77777777" w:rsidR="006C6B1B" w:rsidRPr="0000693A" w:rsidRDefault="0000693A">
      <w:pPr>
        <w:pStyle w:val="TableofFigures"/>
        <w:tabs>
          <w:tab w:val="right" w:leader="dot" w:pos="9629"/>
        </w:tabs>
        <w:rPr>
          <w:rFonts w:ascii="Calibri" w:eastAsia="DengXian" w:hAnsi="Calibri"/>
          <w:b w:val="0"/>
          <w:noProof/>
          <w:sz w:val="22"/>
          <w:szCs w:val="22"/>
        </w:rPr>
      </w:pPr>
      <w:hyperlink w:anchor="_Toc23864483" w:history="1">
        <w:r w:rsidR="006C6B1B" w:rsidRPr="002D621C">
          <w:rPr>
            <w:rStyle w:val="Hyperlink"/>
            <w:noProof/>
          </w:rPr>
          <w:t>Proposal 5</w:t>
        </w:r>
        <w:r w:rsidR="006C6B1B" w:rsidRPr="0000693A">
          <w:rPr>
            <w:rFonts w:ascii="Calibri" w:eastAsia="DengXian" w:hAnsi="Calibri"/>
            <w:b w:val="0"/>
            <w:noProof/>
            <w:sz w:val="22"/>
            <w:szCs w:val="22"/>
          </w:rPr>
          <w:tab/>
        </w:r>
        <w:r w:rsidR="006C6B1B" w:rsidRPr="002D621C">
          <w:rPr>
            <w:rStyle w:val="Hyperlink"/>
            <w:noProof/>
          </w:rPr>
          <w:t>ARP and PC5-S are not considered as two PDCP SDU types.</w:t>
        </w:r>
      </w:hyperlink>
    </w:p>
    <w:p w14:paraId="21B40EC6" w14:textId="333DD931" w:rsidR="00A74E18" w:rsidRPr="000720CE" w:rsidRDefault="002A1081" w:rsidP="00761A29">
      <w:pPr>
        <w:rPr>
          <w:rFonts w:cs="Arial"/>
        </w:rPr>
      </w:pPr>
      <w:r>
        <w:rPr>
          <w:b/>
          <w:bCs/>
        </w:rPr>
        <w:fldChar w:fldCharType="end"/>
      </w:r>
      <w:bookmarkEnd w:id="17"/>
    </w:p>
    <w:p w14:paraId="13A79388" w14:textId="77777777" w:rsidR="00A74E18" w:rsidRPr="00CE0424" w:rsidRDefault="00A74E18" w:rsidP="00A74E18">
      <w:pPr>
        <w:pStyle w:val="Heading1"/>
      </w:pPr>
      <w:r w:rsidRPr="00CE0424">
        <w:t>References</w:t>
      </w:r>
    </w:p>
    <w:p w14:paraId="15DA32F1" w14:textId="77777777" w:rsidR="00821BB6" w:rsidRPr="000720CE" w:rsidRDefault="00821BB6" w:rsidP="00784DD5">
      <w:pPr>
        <w:spacing w:after="0"/>
      </w:pP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F4C9C" w14:textId="77777777" w:rsidR="0000693A" w:rsidRDefault="0000693A">
      <w:r>
        <w:separator/>
      </w:r>
    </w:p>
  </w:endnote>
  <w:endnote w:type="continuationSeparator" w:id="0">
    <w:p w14:paraId="5B43BB08" w14:textId="77777777" w:rsidR="0000693A" w:rsidRDefault="0000693A">
      <w:r>
        <w:continuationSeparator/>
      </w:r>
    </w:p>
  </w:endnote>
  <w:endnote w:type="continuationNotice" w:id="1">
    <w:p w14:paraId="373992AB" w14:textId="77777777" w:rsidR="0000693A" w:rsidRDefault="00006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A51E9" w14:textId="77777777" w:rsidR="0000693A" w:rsidRDefault="0000693A">
      <w:r>
        <w:separator/>
      </w:r>
    </w:p>
  </w:footnote>
  <w:footnote w:type="continuationSeparator" w:id="0">
    <w:p w14:paraId="39766DB7" w14:textId="77777777" w:rsidR="0000693A" w:rsidRDefault="0000693A">
      <w:r>
        <w:continuationSeparator/>
      </w:r>
    </w:p>
  </w:footnote>
  <w:footnote w:type="continuationNotice" w:id="1">
    <w:p w14:paraId="50291A44" w14:textId="77777777" w:rsidR="0000693A" w:rsidRDefault="000069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96A9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0C5F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30A76"/>
    <w:multiLevelType w:val="hybridMultilevel"/>
    <w:tmpl w:val="C4966310"/>
    <w:lvl w:ilvl="0" w:tplc="DD1E832C">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1"/>
  </w:num>
  <w:num w:numId="3">
    <w:abstractNumId w:val="21"/>
  </w:num>
  <w:num w:numId="4">
    <w:abstractNumId w:val="22"/>
  </w:num>
  <w:num w:numId="5">
    <w:abstractNumId w:val="18"/>
  </w:num>
  <w:num w:numId="6">
    <w:abstractNumId w:val="26"/>
  </w:num>
  <w:num w:numId="7">
    <w:abstractNumId w:val="37"/>
  </w:num>
  <w:num w:numId="8">
    <w:abstractNumId w:val="19"/>
  </w:num>
  <w:num w:numId="9">
    <w:abstractNumId w:val="32"/>
  </w:num>
  <w:num w:numId="10">
    <w:abstractNumId w:val="44"/>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6"/>
  </w:num>
  <w:num w:numId="17">
    <w:abstractNumId w:val="16"/>
  </w:num>
  <w:num w:numId="18">
    <w:abstractNumId w:val="34"/>
  </w:num>
  <w:num w:numId="19">
    <w:abstractNumId w:val="2"/>
  </w:num>
  <w:num w:numId="20">
    <w:abstractNumId w:val="1"/>
  </w:num>
  <w:num w:numId="21">
    <w:abstractNumId w:val="0"/>
  </w:num>
  <w:num w:numId="22">
    <w:abstractNumId w:val="42"/>
  </w:num>
  <w:num w:numId="23">
    <w:abstractNumId w:val="28"/>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9"/>
  </w:num>
  <w:num w:numId="30">
    <w:abstractNumId w:val="29"/>
  </w:num>
  <w:num w:numId="31">
    <w:abstractNumId w:val="45"/>
  </w:num>
  <w:num w:numId="32">
    <w:abstractNumId w:val="7"/>
  </w:num>
  <w:num w:numId="33">
    <w:abstractNumId w:val="1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6"/>
  </w:num>
  <w:num w:numId="37">
    <w:abstractNumId w:val="38"/>
  </w:num>
  <w:num w:numId="3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23"/>
  </w:num>
  <w:num w:numId="41">
    <w:abstractNumId w:val="43"/>
  </w:num>
  <w:num w:numId="42">
    <w:abstractNumId w:val="12"/>
  </w:num>
  <w:num w:numId="43">
    <w:abstractNumId w:val="35"/>
  </w:num>
  <w:num w:numId="44">
    <w:abstractNumId w:val="20"/>
  </w:num>
  <w:num w:numId="45">
    <w:abstractNumId w:val="20"/>
  </w:num>
  <w:num w:numId="46">
    <w:abstractNumId w:val="17"/>
  </w:num>
  <w:num w:numId="47">
    <w:abstractNumId w:val="33"/>
  </w:num>
  <w:num w:numId="48">
    <w:abstractNumId w:val="15"/>
  </w:num>
  <w:num w:numId="49">
    <w:abstractNumId w:val="46"/>
  </w:num>
  <w:num w:numId="50">
    <w:abstractNumId w:val="48"/>
  </w:num>
  <w:num w:numId="51">
    <w:abstractNumId w:val="13"/>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40"/>
  </w:num>
  <w:num w:numId="62">
    <w:abstractNumId w:val="32"/>
  </w:num>
  <w:num w:numId="63">
    <w:abstractNumId w:val="21"/>
  </w:num>
  <w:num w:numId="64">
    <w:abstractNumId w:val="8"/>
  </w:num>
  <w:num w:numId="65">
    <w:abstractNumId w:val="47"/>
  </w:num>
  <w:num w:numId="66">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93A"/>
    <w:rsid w:val="00006B58"/>
    <w:rsid w:val="00006F89"/>
    <w:rsid w:val="000074E4"/>
    <w:rsid w:val="000078E0"/>
    <w:rsid w:val="00007CDC"/>
    <w:rsid w:val="000102A0"/>
    <w:rsid w:val="00011B28"/>
    <w:rsid w:val="00012E99"/>
    <w:rsid w:val="00013FBB"/>
    <w:rsid w:val="0001465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815"/>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909"/>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095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BF"/>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428"/>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26D"/>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383"/>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81"/>
    <w:rsid w:val="006B622F"/>
    <w:rsid w:val="006C03B8"/>
    <w:rsid w:val="006C08BD"/>
    <w:rsid w:val="006C16B6"/>
    <w:rsid w:val="006C289D"/>
    <w:rsid w:val="006C28D7"/>
    <w:rsid w:val="006C3221"/>
    <w:rsid w:val="006C4803"/>
    <w:rsid w:val="006C5485"/>
    <w:rsid w:val="006C5EC9"/>
    <w:rsid w:val="006C6059"/>
    <w:rsid w:val="006C6B1B"/>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0D"/>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51"/>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0A14"/>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2D"/>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C03"/>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5FEC"/>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4BA"/>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4D66"/>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2E7E"/>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8D2"/>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5D8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2A20"/>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6EEB"/>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0FA"/>
    <w:rsid w:val="00B97EF9"/>
    <w:rsid w:val="00BA10FB"/>
    <w:rsid w:val="00BA1E49"/>
    <w:rsid w:val="00BA2280"/>
    <w:rsid w:val="00BA2A08"/>
    <w:rsid w:val="00BA504B"/>
    <w:rsid w:val="00BA5067"/>
    <w:rsid w:val="00BA56D2"/>
    <w:rsid w:val="00BA65FA"/>
    <w:rsid w:val="00BA6741"/>
    <w:rsid w:val="00BA6F7C"/>
    <w:rsid w:val="00BA76E0"/>
    <w:rsid w:val="00BA7C35"/>
    <w:rsid w:val="00BB0A12"/>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7B4"/>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271FC"/>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093"/>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86"/>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6D0"/>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2DC4"/>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semiHidden/>
    <w:rsid w:val="00362C2A"/>
    <w:rPr>
      <w:sz w:val="16"/>
      <w:szCs w:val="16"/>
    </w:rPr>
  </w:style>
  <w:style w:type="paragraph" w:styleId="CommentText">
    <w:name w:val="annotation text"/>
    <w:basedOn w:val="Normal"/>
    <w:link w:val="CommentTextChar"/>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rsid w:val="00362C2A"/>
    <w:pPr>
      <w:spacing w:after="180"/>
      <w:jc w:val="left"/>
    </w:pPr>
    <w:rPr>
      <w:lang w:eastAsia="en-US"/>
    </w:rPr>
  </w:style>
  <w:style w:type="paragraph" w:customStyle="1" w:styleId="B2">
    <w:name w:val="B2"/>
    <w:basedOn w:val="List2"/>
    <w:link w:val="B2Char"/>
    <w:rsid w:val="00362C2A"/>
    <w:pPr>
      <w:spacing w:after="180"/>
      <w:jc w:val="left"/>
    </w:pPr>
    <w:rPr>
      <w:lang w:eastAsia="en-US"/>
    </w:rPr>
  </w:style>
  <w:style w:type="paragraph" w:customStyle="1" w:styleId="B3">
    <w:name w:val="B3"/>
    <w:basedOn w:val="List3"/>
    <w:link w:val="B3Char"/>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3.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4.xml><?xml version="1.0" encoding="utf-8"?>
<ds:datastoreItem xmlns:ds="http://schemas.openxmlformats.org/officeDocument/2006/customXml" ds:itemID="{ED6D1D1D-B0B3-4939-AC06-9B06C78D5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6C9875-D5DF-4B0B-B9AE-44945373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513</TotalTime>
  <Pages>3</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Ericsson</cp:lastModifiedBy>
  <cp:revision>139</cp:revision>
  <cp:lastPrinted>2008-01-31T16:09:00Z</cp:lastPrinted>
  <dcterms:created xsi:type="dcterms:W3CDTF">2019-08-13T16:14:00Z</dcterms:created>
  <dcterms:modified xsi:type="dcterms:W3CDTF">2019-11-07T12:31:00Z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